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B5" w:rsidRDefault="00FA17B5" w:rsidP="00FA17B5">
      <w:pPr>
        <w:rPr>
          <w:rFonts w:ascii="Times New Roman" w:eastAsia="Times New Roman" w:hAnsi="Times New Roman"/>
          <w:b/>
          <w:bCs/>
          <w:kern w:val="36"/>
          <w:sz w:val="48"/>
          <w:szCs w:val="48"/>
          <w:lang w:eastAsia="en-US"/>
        </w:rPr>
      </w:pPr>
      <w:r>
        <w:rPr>
          <w:rFonts w:ascii="Times New Roman" w:eastAsia="Times New Roman" w:hAnsi="Times New Roman"/>
          <w:noProof/>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17700" cy="92329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7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7B5">
        <w:rPr>
          <w:rFonts w:ascii="Times New Roman" w:eastAsia="Times New Roman" w:hAnsi="Times New Roman"/>
          <w:b/>
          <w:bCs/>
          <w:kern w:val="36"/>
          <w:sz w:val="48"/>
          <w:szCs w:val="4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12.5pt;height:15pt" o:ole="">
            <v:imagedata r:id="rId7" o:title=""/>
          </v:shape>
          <w:control r:id="rId8" w:name="s_media_1_0" w:shapeid="_x0000_i1113"/>
        </w:object>
      </w:r>
    </w:p>
    <w:p w:rsidR="00FA17B5" w:rsidRDefault="00FA17B5" w:rsidP="00FA17B5">
      <w:pPr>
        <w:spacing w:before="100" w:beforeAutospacing="1" w:after="100" w:afterAutospacing="1" w:line="240" w:lineRule="atLeast"/>
        <w:outlineLvl w:val="0"/>
        <w:rPr>
          <w:rFonts w:ascii="Times New Roman" w:eastAsia="Times New Roman" w:hAnsi="Times New Roman"/>
          <w:b/>
          <w:bCs/>
          <w:kern w:val="36"/>
          <w:sz w:val="48"/>
          <w:szCs w:val="48"/>
          <w:lang w:eastAsia="en-US"/>
        </w:rPr>
      </w:pPr>
    </w:p>
    <w:p w:rsidR="00FA17B5" w:rsidRPr="00FA17B5" w:rsidRDefault="00FA17B5" w:rsidP="00FA17B5">
      <w:pPr>
        <w:spacing w:line="240" w:lineRule="atLeast"/>
        <w:outlineLvl w:val="0"/>
        <w:rPr>
          <w:rFonts w:ascii="Times New Roman" w:eastAsia="Times New Roman" w:hAnsi="Times New Roman"/>
          <w:b/>
          <w:bCs/>
          <w:kern w:val="36"/>
          <w:sz w:val="48"/>
          <w:szCs w:val="48"/>
          <w:lang w:eastAsia="en-US"/>
        </w:rPr>
      </w:pPr>
      <w:r w:rsidRPr="00FA17B5">
        <w:rPr>
          <w:rFonts w:ascii="Times New Roman" w:eastAsia="Times New Roman" w:hAnsi="Times New Roman"/>
          <w:b/>
          <w:bCs/>
          <w:kern w:val="36"/>
          <w:sz w:val="48"/>
          <w:szCs w:val="48"/>
          <w:lang w:eastAsia="en-US"/>
        </w:rPr>
        <w:t>LIFE INSURANCE</w:t>
      </w:r>
    </w:p>
    <w:p w:rsidR="00FA17B5" w:rsidRPr="00FA17B5" w:rsidRDefault="00FA17B5" w:rsidP="00FA17B5">
      <w:p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Your financial security could affect your loved ones as much as, or more than, it affects you. Life insurance offers protection from life's unforeseen risks, and the power to leverage assets so you can accomplish more. Life insurance has tax advantages and flexibilities to help you meet your changing needs. It can provide:</w:t>
      </w:r>
    </w:p>
    <w:p w:rsidR="00FA17B5" w:rsidRPr="00FA17B5" w:rsidRDefault="00FA17B5" w:rsidP="00FA17B5">
      <w:pPr>
        <w:numPr>
          <w:ilvl w:val="0"/>
          <w:numId w:val="4"/>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Financial protection for your loved ones or your business </w:t>
      </w:r>
    </w:p>
    <w:p w:rsidR="00FA17B5" w:rsidRPr="00FA17B5" w:rsidRDefault="00FA17B5" w:rsidP="00FA17B5">
      <w:pPr>
        <w:numPr>
          <w:ilvl w:val="0"/>
          <w:numId w:val="4"/>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Income replacement </w:t>
      </w:r>
    </w:p>
    <w:p w:rsidR="00FA17B5" w:rsidRPr="00FA17B5" w:rsidRDefault="00FA17B5" w:rsidP="00FA17B5">
      <w:pPr>
        <w:numPr>
          <w:ilvl w:val="0"/>
          <w:numId w:val="4"/>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Supplemental retirement income </w:t>
      </w:r>
    </w:p>
    <w:p w:rsidR="00FA17B5" w:rsidRPr="00FA17B5" w:rsidRDefault="00FA17B5" w:rsidP="00FA17B5">
      <w:pPr>
        <w:numPr>
          <w:ilvl w:val="0"/>
          <w:numId w:val="4"/>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Account value growth that can be used as a financial resource </w:t>
      </w:r>
    </w:p>
    <w:p w:rsidR="00FA17B5" w:rsidRPr="00FA17B5" w:rsidRDefault="00FA17B5" w:rsidP="00FA17B5">
      <w:pPr>
        <w:numPr>
          <w:ilvl w:val="0"/>
          <w:numId w:val="4"/>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Tax-deferred asset accumulation </w:t>
      </w:r>
    </w:p>
    <w:p w:rsidR="00FA17B5" w:rsidRPr="00FA17B5" w:rsidRDefault="00FA17B5" w:rsidP="00FA17B5">
      <w:pPr>
        <w:numPr>
          <w:ilvl w:val="0"/>
          <w:numId w:val="4"/>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Efficient wealth transfer solutions </w:t>
      </w:r>
    </w:p>
    <w:p w:rsidR="00FA17B5" w:rsidRPr="00FA17B5" w:rsidRDefault="00FA17B5" w:rsidP="00FA17B5">
      <w:pPr>
        <w:numPr>
          <w:ilvl w:val="0"/>
          <w:numId w:val="4"/>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A funding vehicle for business owners </w:t>
      </w:r>
    </w:p>
    <w:p w:rsidR="00FA17B5" w:rsidRPr="00FA17B5" w:rsidRDefault="00FA17B5" w:rsidP="00FA17B5">
      <w:p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Consider life insurance as an important component of your financial strategy. Explore the five types of life insurance we can offer you:</w:t>
      </w:r>
    </w:p>
    <w:p w:rsidR="00FA17B5" w:rsidRPr="00FA17B5" w:rsidRDefault="00FA17B5" w:rsidP="00FA17B5">
      <w:pPr>
        <w:spacing w:before="100" w:beforeAutospacing="1" w:after="100" w:afterAutospacing="1" w:line="240" w:lineRule="atLeast"/>
        <w:outlineLvl w:val="2"/>
        <w:rPr>
          <w:rFonts w:ascii="Times New Roman" w:eastAsia="Times New Roman" w:hAnsi="Times New Roman"/>
          <w:b/>
          <w:bCs/>
          <w:sz w:val="18"/>
          <w:szCs w:val="18"/>
          <w:lang w:eastAsia="en-US"/>
        </w:rPr>
      </w:pPr>
      <w:r w:rsidRPr="00FA17B5">
        <w:rPr>
          <w:rFonts w:ascii="Times New Roman" w:eastAsia="Times New Roman" w:hAnsi="Times New Roman"/>
          <w:b/>
          <w:bCs/>
          <w:sz w:val="18"/>
          <w:szCs w:val="18"/>
          <w:lang w:eastAsia="en-US"/>
        </w:rPr>
        <w:t>Term Life - For temporary coverage</w:t>
      </w:r>
    </w:p>
    <w:p w:rsidR="00FA17B5" w:rsidRPr="00FA17B5" w:rsidRDefault="00FA17B5" w:rsidP="00FA17B5">
      <w:pPr>
        <w:numPr>
          <w:ilvl w:val="0"/>
          <w:numId w:val="5"/>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Life insurance for a fixed period of time: one, five, 10 years or longer </w:t>
      </w:r>
    </w:p>
    <w:p w:rsidR="00FA17B5" w:rsidRPr="00FA17B5" w:rsidRDefault="00FA17B5" w:rsidP="00FA17B5">
      <w:pPr>
        <w:numPr>
          <w:ilvl w:val="0"/>
          <w:numId w:val="5"/>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Most economical form of life insurance </w:t>
      </w:r>
    </w:p>
    <w:p w:rsidR="00FA17B5" w:rsidRPr="00FA17B5" w:rsidRDefault="00FA17B5" w:rsidP="00FA17B5">
      <w:pPr>
        <w:numPr>
          <w:ilvl w:val="0"/>
          <w:numId w:val="5"/>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Guaranteed death benefit within the specified term </w:t>
      </w:r>
    </w:p>
    <w:p w:rsidR="00FA17B5" w:rsidRPr="00FA17B5" w:rsidRDefault="00FA17B5" w:rsidP="00FA17B5">
      <w:pPr>
        <w:numPr>
          <w:ilvl w:val="0"/>
          <w:numId w:val="5"/>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No return of investment at the end of your term </w:t>
      </w:r>
    </w:p>
    <w:p w:rsidR="00FA17B5" w:rsidRPr="00FA17B5" w:rsidRDefault="00FA17B5" w:rsidP="00FA17B5">
      <w:pPr>
        <w:spacing w:before="100" w:beforeAutospacing="1" w:after="100" w:afterAutospacing="1" w:line="240" w:lineRule="atLeast"/>
        <w:rPr>
          <w:rFonts w:ascii="Times New Roman" w:eastAsia="Times New Roman" w:hAnsi="Times New Roman"/>
          <w:sz w:val="18"/>
          <w:szCs w:val="18"/>
          <w:lang w:eastAsia="en-US"/>
        </w:rPr>
      </w:pPr>
      <w:hyperlink r:id="rId9" w:tooltip="Explore Term Life products" w:history="1">
        <w:r w:rsidRPr="00FA17B5">
          <w:rPr>
            <w:rFonts w:ascii="Times New Roman" w:eastAsia="Times New Roman" w:hAnsi="Times New Roman"/>
            <w:sz w:val="18"/>
            <w:szCs w:val="18"/>
            <w:u w:val="single"/>
            <w:lang w:eastAsia="en-US"/>
          </w:rPr>
          <w:t>Explore Term Life products</w:t>
        </w:r>
      </w:hyperlink>
    </w:p>
    <w:p w:rsidR="00FA17B5" w:rsidRPr="00FA17B5" w:rsidRDefault="00FA17B5" w:rsidP="00FA17B5">
      <w:pPr>
        <w:spacing w:before="100" w:beforeAutospacing="1" w:after="100" w:afterAutospacing="1" w:line="240" w:lineRule="atLeast"/>
        <w:outlineLvl w:val="2"/>
        <w:rPr>
          <w:rFonts w:ascii="Times New Roman" w:eastAsia="Times New Roman" w:hAnsi="Times New Roman"/>
          <w:b/>
          <w:bCs/>
          <w:sz w:val="18"/>
          <w:szCs w:val="18"/>
          <w:lang w:eastAsia="en-US"/>
        </w:rPr>
      </w:pPr>
      <w:r w:rsidRPr="00FA17B5">
        <w:rPr>
          <w:rFonts w:ascii="Times New Roman" w:eastAsia="Times New Roman" w:hAnsi="Times New Roman"/>
          <w:b/>
          <w:bCs/>
          <w:sz w:val="18"/>
          <w:szCs w:val="18"/>
          <w:lang w:eastAsia="en-US"/>
        </w:rPr>
        <w:t>Universal Life - For flexible coverage</w:t>
      </w:r>
    </w:p>
    <w:p w:rsidR="00FA17B5" w:rsidRPr="00FA17B5" w:rsidRDefault="00FA17B5" w:rsidP="00FA17B5">
      <w:pPr>
        <w:numPr>
          <w:ilvl w:val="0"/>
          <w:numId w:val="6"/>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Benefits of traditional life insurance </w:t>
      </w:r>
    </w:p>
    <w:p w:rsidR="00FA17B5" w:rsidRPr="00FA17B5" w:rsidRDefault="00FA17B5" w:rsidP="00FA17B5">
      <w:pPr>
        <w:numPr>
          <w:ilvl w:val="0"/>
          <w:numId w:val="6"/>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Potential to grow cash value over time at a set rate </w:t>
      </w:r>
    </w:p>
    <w:p w:rsidR="00FA17B5" w:rsidRPr="00FA17B5" w:rsidRDefault="00FA17B5" w:rsidP="00FA17B5">
      <w:pPr>
        <w:numPr>
          <w:ilvl w:val="0"/>
          <w:numId w:val="6"/>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Flexibility to set the amount of your monthly premium </w:t>
      </w:r>
    </w:p>
    <w:p w:rsidR="00FA17B5" w:rsidRPr="00FA17B5" w:rsidRDefault="00FA17B5" w:rsidP="00FA17B5">
      <w:pPr>
        <w:numPr>
          <w:ilvl w:val="0"/>
          <w:numId w:val="6"/>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Flexibility to set the amount of your death benefit while the policy is in force (subject to underwriting approval) </w:t>
      </w:r>
    </w:p>
    <w:p w:rsidR="00FA17B5" w:rsidRPr="00FA17B5" w:rsidRDefault="00FA17B5" w:rsidP="00FA17B5">
      <w:pPr>
        <w:numPr>
          <w:ilvl w:val="0"/>
          <w:numId w:val="6"/>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Earnings are not taxed until paid out (tax-deferred) </w:t>
      </w:r>
    </w:p>
    <w:p w:rsidR="00FA17B5" w:rsidRPr="00FA17B5" w:rsidRDefault="00FA17B5" w:rsidP="00FA17B5">
      <w:pPr>
        <w:spacing w:before="100" w:beforeAutospacing="1" w:after="100" w:afterAutospacing="1" w:line="240" w:lineRule="atLeast"/>
        <w:rPr>
          <w:rFonts w:ascii="Times New Roman" w:eastAsia="Times New Roman" w:hAnsi="Times New Roman"/>
          <w:sz w:val="18"/>
          <w:szCs w:val="18"/>
          <w:lang w:eastAsia="en-US"/>
        </w:rPr>
      </w:pPr>
      <w:hyperlink r:id="rId10" w:tooltip="Explore Universal Life products" w:history="1">
        <w:r w:rsidRPr="00FA17B5">
          <w:rPr>
            <w:rFonts w:ascii="Times New Roman" w:eastAsia="Times New Roman" w:hAnsi="Times New Roman"/>
            <w:sz w:val="18"/>
            <w:szCs w:val="18"/>
            <w:u w:val="single"/>
            <w:lang w:eastAsia="en-US"/>
          </w:rPr>
          <w:t>Explore Universal Life products</w:t>
        </w:r>
      </w:hyperlink>
    </w:p>
    <w:p w:rsidR="00FA17B5" w:rsidRPr="00FA17B5" w:rsidRDefault="00FA17B5" w:rsidP="00FA17B5">
      <w:pPr>
        <w:spacing w:before="100" w:beforeAutospacing="1" w:after="100" w:afterAutospacing="1" w:line="240" w:lineRule="atLeast"/>
        <w:outlineLvl w:val="2"/>
        <w:rPr>
          <w:rFonts w:ascii="Times New Roman" w:eastAsia="Times New Roman" w:hAnsi="Times New Roman"/>
          <w:b/>
          <w:bCs/>
          <w:sz w:val="18"/>
          <w:szCs w:val="18"/>
          <w:lang w:eastAsia="en-US"/>
        </w:rPr>
      </w:pPr>
      <w:r w:rsidRPr="00FA17B5">
        <w:rPr>
          <w:rFonts w:ascii="Times New Roman" w:eastAsia="Times New Roman" w:hAnsi="Times New Roman"/>
          <w:b/>
          <w:bCs/>
          <w:sz w:val="18"/>
          <w:szCs w:val="18"/>
          <w:lang w:eastAsia="en-US"/>
        </w:rPr>
        <w:t>Variable Universal Life - For flexible coverage with growth potential</w:t>
      </w:r>
    </w:p>
    <w:p w:rsidR="00FA17B5" w:rsidRPr="00FA17B5" w:rsidRDefault="00FA17B5" w:rsidP="00FA17B5">
      <w:pPr>
        <w:numPr>
          <w:ilvl w:val="0"/>
          <w:numId w:val="7"/>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Benefits of universal life insurance </w:t>
      </w:r>
    </w:p>
    <w:p w:rsidR="00FA17B5" w:rsidRPr="00FA17B5" w:rsidRDefault="00FA17B5" w:rsidP="00FA17B5">
      <w:pPr>
        <w:numPr>
          <w:ilvl w:val="0"/>
          <w:numId w:val="7"/>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Potential to grow the cash value over time based on market performance of an underlying portfolio. </w:t>
      </w:r>
    </w:p>
    <w:p w:rsidR="00FA17B5" w:rsidRPr="00FA17B5" w:rsidRDefault="00FA17B5" w:rsidP="00FA17B5">
      <w:pPr>
        <w:numPr>
          <w:ilvl w:val="0"/>
          <w:numId w:val="7"/>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Ability to choose where your premiums are invested </w:t>
      </w:r>
    </w:p>
    <w:p w:rsidR="00FA17B5" w:rsidRPr="00FA17B5" w:rsidRDefault="00FA17B5" w:rsidP="00FA17B5">
      <w:pPr>
        <w:numPr>
          <w:ilvl w:val="0"/>
          <w:numId w:val="7"/>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Earnings are not taxed until paid out (tax-deferred) </w:t>
      </w:r>
    </w:p>
    <w:p w:rsidR="00FA17B5" w:rsidRPr="00FA17B5" w:rsidRDefault="00FA17B5" w:rsidP="00FA17B5">
      <w:pPr>
        <w:spacing w:before="100" w:beforeAutospacing="1" w:after="100" w:afterAutospacing="1" w:line="240" w:lineRule="atLeast"/>
        <w:rPr>
          <w:rFonts w:ascii="Times New Roman" w:eastAsia="Times New Roman" w:hAnsi="Times New Roman"/>
          <w:sz w:val="18"/>
          <w:szCs w:val="18"/>
          <w:lang w:eastAsia="en-US"/>
        </w:rPr>
      </w:pPr>
      <w:hyperlink r:id="rId11" w:tooltip="Explore Variable Universal Life products" w:history="1">
        <w:r w:rsidRPr="00FA17B5">
          <w:rPr>
            <w:rFonts w:ascii="Times New Roman" w:eastAsia="Times New Roman" w:hAnsi="Times New Roman"/>
            <w:sz w:val="18"/>
            <w:szCs w:val="18"/>
            <w:u w:val="single"/>
            <w:lang w:eastAsia="en-US"/>
          </w:rPr>
          <w:t>Explore Variable Universal Life products</w:t>
        </w:r>
      </w:hyperlink>
    </w:p>
    <w:p w:rsidR="00FA17B5" w:rsidRPr="00FA17B5" w:rsidRDefault="00FA17B5" w:rsidP="00FA17B5">
      <w:pPr>
        <w:spacing w:before="100" w:beforeAutospacing="1" w:after="100" w:afterAutospacing="1" w:line="240" w:lineRule="atLeast"/>
        <w:outlineLvl w:val="2"/>
        <w:rPr>
          <w:rFonts w:ascii="Times New Roman" w:eastAsia="Times New Roman" w:hAnsi="Times New Roman"/>
          <w:b/>
          <w:bCs/>
          <w:sz w:val="18"/>
          <w:szCs w:val="18"/>
          <w:lang w:eastAsia="en-US"/>
        </w:rPr>
      </w:pPr>
      <w:r w:rsidRPr="00FA17B5">
        <w:rPr>
          <w:rFonts w:ascii="Times New Roman" w:eastAsia="Times New Roman" w:hAnsi="Times New Roman"/>
          <w:b/>
          <w:bCs/>
          <w:sz w:val="18"/>
          <w:szCs w:val="18"/>
          <w:lang w:eastAsia="en-US"/>
        </w:rPr>
        <w:t>Funding Life Long-Term Care - For long-term care coverage</w:t>
      </w:r>
    </w:p>
    <w:p w:rsidR="00FA17B5" w:rsidRPr="00FA17B5" w:rsidRDefault="00FA17B5" w:rsidP="00FA17B5">
      <w:pPr>
        <w:numPr>
          <w:ilvl w:val="0"/>
          <w:numId w:val="8"/>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Universal Life as an alternative to long-term care insurance </w:t>
      </w:r>
    </w:p>
    <w:p w:rsidR="00FA17B5" w:rsidRPr="00FA17B5" w:rsidRDefault="00FA17B5" w:rsidP="00FA17B5">
      <w:pPr>
        <w:numPr>
          <w:ilvl w:val="0"/>
          <w:numId w:val="8"/>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Benefits of universal life and long-term care insurance, combined </w:t>
      </w:r>
    </w:p>
    <w:p w:rsidR="00FA17B5" w:rsidRPr="00FA17B5" w:rsidRDefault="00FA17B5" w:rsidP="00FA17B5">
      <w:pPr>
        <w:numPr>
          <w:ilvl w:val="0"/>
          <w:numId w:val="8"/>
        </w:num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 xml:space="preserve">Provides coverage for long-term care expenses if you need it, provides a death benefit or a return of your initial premium if you don't </w:t>
      </w:r>
    </w:p>
    <w:p w:rsidR="00FA17B5" w:rsidRPr="00FA17B5" w:rsidRDefault="00FA17B5" w:rsidP="00FA17B5">
      <w:pPr>
        <w:spacing w:before="100" w:beforeAutospacing="1" w:after="100" w:afterAutospacing="1" w:line="240" w:lineRule="atLeast"/>
        <w:rPr>
          <w:rFonts w:ascii="Times New Roman" w:eastAsia="Times New Roman" w:hAnsi="Times New Roman"/>
          <w:sz w:val="18"/>
          <w:szCs w:val="18"/>
          <w:lang w:eastAsia="en-US"/>
        </w:rPr>
      </w:pPr>
      <w:hyperlink r:id="rId12" w:tooltip="Explore Funding Life Long-Term Care products" w:history="1">
        <w:r w:rsidRPr="00FA17B5">
          <w:rPr>
            <w:rFonts w:ascii="Times New Roman" w:eastAsia="Times New Roman" w:hAnsi="Times New Roman"/>
            <w:sz w:val="18"/>
            <w:szCs w:val="18"/>
            <w:u w:val="single"/>
            <w:lang w:eastAsia="en-US"/>
          </w:rPr>
          <w:t>Explore Funding Life Long-Term Care products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9"/>
        <w:gridCol w:w="1912"/>
        <w:gridCol w:w="1240"/>
        <w:gridCol w:w="1785"/>
        <w:gridCol w:w="2744"/>
      </w:tblGrid>
      <w:tr w:rsidR="00FA17B5" w:rsidRPr="00FA17B5" w:rsidTr="00FA17B5">
        <w:trPr>
          <w:tblHeader/>
          <w:tblCellSpacing w:w="15" w:type="dxa"/>
        </w:trPr>
        <w:tc>
          <w:tcPr>
            <w:tcW w:w="0" w:type="auto"/>
            <w:vAlign w:val="center"/>
            <w:hideMark/>
          </w:tcPr>
          <w:p w:rsidR="00FA17B5" w:rsidRPr="00FA17B5" w:rsidRDefault="00FA17B5" w:rsidP="00FA17B5">
            <w:pPr>
              <w:jc w:val="center"/>
              <w:rPr>
                <w:rFonts w:ascii="Times New Roman" w:eastAsia="Times New Roman" w:hAnsi="Times New Roman"/>
                <w:b/>
                <w:bCs/>
                <w:lang w:eastAsia="en-US"/>
              </w:rPr>
            </w:pPr>
          </w:p>
        </w:tc>
        <w:tc>
          <w:tcPr>
            <w:tcW w:w="0" w:type="auto"/>
            <w:vAlign w:val="center"/>
            <w:hideMark/>
          </w:tcPr>
          <w:p w:rsidR="00FA17B5" w:rsidRPr="00FA17B5" w:rsidRDefault="00FA17B5" w:rsidP="00FA17B5">
            <w:pPr>
              <w:jc w:val="center"/>
              <w:rPr>
                <w:rFonts w:ascii="Times New Roman" w:eastAsia="Times New Roman" w:hAnsi="Times New Roman"/>
                <w:b/>
                <w:bCs/>
                <w:lang w:eastAsia="en-US"/>
              </w:rPr>
            </w:pPr>
            <w:hyperlink r:id="rId13" w:tooltip="Term" w:history="1">
              <w:r w:rsidRPr="00FA17B5">
                <w:rPr>
                  <w:rFonts w:ascii="Times New Roman" w:eastAsia="Times New Roman" w:hAnsi="Times New Roman"/>
                  <w:b/>
                  <w:bCs/>
                  <w:u w:val="single"/>
                  <w:lang w:eastAsia="en-US"/>
                </w:rPr>
                <w:t>Term</w:t>
              </w:r>
            </w:hyperlink>
          </w:p>
        </w:tc>
        <w:tc>
          <w:tcPr>
            <w:tcW w:w="0" w:type="auto"/>
            <w:vAlign w:val="center"/>
            <w:hideMark/>
          </w:tcPr>
          <w:p w:rsidR="00FA17B5" w:rsidRPr="00FA17B5" w:rsidRDefault="00FA17B5" w:rsidP="00FA17B5">
            <w:pPr>
              <w:jc w:val="center"/>
              <w:rPr>
                <w:rFonts w:ascii="Times New Roman" w:eastAsia="Times New Roman" w:hAnsi="Times New Roman"/>
                <w:b/>
                <w:bCs/>
                <w:lang w:eastAsia="en-US"/>
              </w:rPr>
            </w:pPr>
            <w:hyperlink r:id="rId14" w:tooltip="Universal" w:history="1">
              <w:r w:rsidRPr="00FA17B5">
                <w:rPr>
                  <w:rFonts w:ascii="Times New Roman" w:eastAsia="Times New Roman" w:hAnsi="Times New Roman"/>
                  <w:b/>
                  <w:bCs/>
                  <w:u w:val="single"/>
                  <w:lang w:eastAsia="en-US"/>
                </w:rPr>
                <w:t>Universal</w:t>
              </w:r>
            </w:hyperlink>
          </w:p>
        </w:tc>
        <w:tc>
          <w:tcPr>
            <w:tcW w:w="0" w:type="auto"/>
            <w:vAlign w:val="center"/>
            <w:hideMark/>
          </w:tcPr>
          <w:p w:rsidR="00FA17B5" w:rsidRPr="00FA17B5" w:rsidRDefault="00FA17B5" w:rsidP="00FA17B5">
            <w:pPr>
              <w:jc w:val="center"/>
              <w:rPr>
                <w:rFonts w:ascii="Times New Roman" w:eastAsia="Times New Roman" w:hAnsi="Times New Roman"/>
                <w:b/>
                <w:bCs/>
                <w:lang w:eastAsia="en-US"/>
              </w:rPr>
            </w:pPr>
            <w:hyperlink r:id="rId15" w:tooltip="Variable Universal" w:history="1">
              <w:r w:rsidRPr="00FA17B5">
                <w:rPr>
                  <w:rFonts w:ascii="Times New Roman" w:eastAsia="Times New Roman" w:hAnsi="Times New Roman"/>
                  <w:b/>
                  <w:bCs/>
                  <w:u w:val="single"/>
                  <w:lang w:eastAsia="en-US"/>
                </w:rPr>
                <w:t>Variable Universal</w:t>
              </w:r>
            </w:hyperlink>
          </w:p>
        </w:tc>
        <w:tc>
          <w:tcPr>
            <w:tcW w:w="0" w:type="auto"/>
            <w:vAlign w:val="center"/>
            <w:hideMark/>
          </w:tcPr>
          <w:p w:rsidR="00FA17B5" w:rsidRPr="00FA17B5" w:rsidRDefault="00FA17B5" w:rsidP="00FA17B5">
            <w:pPr>
              <w:jc w:val="center"/>
              <w:rPr>
                <w:rFonts w:ascii="Times New Roman" w:eastAsia="Times New Roman" w:hAnsi="Times New Roman"/>
                <w:b/>
                <w:bCs/>
                <w:lang w:eastAsia="en-US"/>
              </w:rPr>
            </w:pPr>
            <w:hyperlink r:id="rId16" w:tooltip="Funding Life Long-Term Care" w:history="1">
              <w:r w:rsidRPr="00FA17B5">
                <w:rPr>
                  <w:rFonts w:ascii="Times New Roman" w:eastAsia="Times New Roman" w:hAnsi="Times New Roman"/>
                  <w:b/>
                  <w:bCs/>
                  <w:u w:val="single"/>
                  <w:lang w:eastAsia="en-US"/>
                </w:rPr>
                <w:t>Funding Life Long-Term Care</w:t>
              </w:r>
            </w:hyperlink>
          </w:p>
        </w:tc>
      </w:tr>
      <w:tr w:rsidR="00FA17B5" w:rsidRPr="00FA17B5" w:rsidTr="00FA17B5">
        <w:trPr>
          <w:tblCellSpacing w:w="15" w:type="dxa"/>
        </w:trPr>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Coverage</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Temporary</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Permanent</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Permanent</w:t>
            </w:r>
          </w:p>
        </w:tc>
        <w:tc>
          <w:tcPr>
            <w:tcW w:w="0" w:type="auto"/>
            <w:vAlign w:val="center"/>
            <w:hideMark/>
          </w:tcPr>
          <w:p w:rsidR="00FA17B5" w:rsidRPr="00FA17B5" w:rsidRDefault="00FA17B5" w:rsidP="00FA17B5">
            <w:pPr>
              <w:rPr>
                <w:rFonts w:ascii="Times New Roman" w:eastAsia="Times New Roman" w:hAnsi="Times New Roman"/>
                <w:lang w:eastAsia="en-US"/>
              </w:rPr>
            </w:pPr>
            <w:proofErr w:type="spellStart"/>
            <w:r w:rsidRPr="00FA17B5">
              <w:rPr>
                <w:rFonts w:ascii="Times New Roman" w:eastAsia="Times New Roman" w:hAnsi="Times New Roman"/>
                <w:lang w:eastAsia="en-US"/>
              </w:rPr>
              <w:t>Permament</w:t>
            </w:r>
            <w:proofErr w:type="spellEnd"/>
          </w:p>
        </w:tc>
      </w:tr>
      <w:tr w:rsidR="00FA17B5" w:rsidRPr="00FA17B5" w:rsidTr="00FA17B5">
        <w:trPr>
          <w:tblCellSpacing w:w="15" w:type="dxa"/>
        </w:trPr>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Tax-Deferred</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No</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w:t>
            </w:r>
          </w:p>
        </w:tc>
      </w:tr>
      <w:tr w:rsidR="00FA17B5" w:rsidRPr="00FA17B5" w:rsidTr="00FA17B5">
        <w:trPr>
          <w:tblCellSpacing w:w="15" w:type="dxa"/>
        </w:trPr>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Premium</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Fixed</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Flexible</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Flexible</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Flexible</w:t>
            </w:r>
          </w:p>
        </w:tc>
      </w:tr>
      <w:tr w:rsidR="00FA17B5" w:rsidRPr="00FA17B5" w:rsidTr="00FA17B5">
        <w:trPr>
          <w:tblCellSpacing w:w="15" w:type="dxa"/>
        </w:trPr>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Dependent on investment performance</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No</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No</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No</w:t>
            </w:r>
          </w:p>
        </w:tc>
      </w:tr>
      <w:tr w:rsidR="00FA17B5" w:rsidRPr="00FA17B5" w:rsidTr="00FA17B5">
        <w:trPr>
          <w:tblCellSpacing w:w="15" w:type="dxa"/>
        </w:trPr>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Death benefit</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 within term only</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w:t>
            </w:r>
          </w:p>
        </w:tc>
      </w:tr>
      <w:tr w:rsidR="00FA17B5" w:rsidRPr="00FA17B5" w:rsidTr="00FA17B5">
        <w:trPr>
          <w:tblCellSpacing w:w="15" w:type="dxa"/>
        </w:trPr>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Cash value</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No</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 flexible</w:t>
            </w:r>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 flexible</w:t>
            </w:r>
            <w:bookmarkStart w:id="0" w:name="_GoBack"/>
            <w:bookmarkEnd w:id="0"/>
          </w:p>
        </w:tc>
        <w:tc>
          <w:tcPr>
            <w:tcW w:w="0" w:type="auto"/>
            <w:vAlign w:val="center"/>
            <w:hideMark/>
          </w:tcPr>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Yes, flexible</w:t>
            </w:r>
          </w:p>
        </w:tc>
      </w:tr>
    </w:tbl>
    <w:p w:rsidR="00FA17B5" w:rsidRPr="00FA17B5" w:rsidRDefault="00FA17B5" w:rsidP="00FA17B5">
      <w:pPr>
        <w:spacing w:before="100" w:beforeAutospacing="1" w:after="100" w:afterAutospacing="1" w:line="240" w:lineRule="atLeast"/>
        <w:rPr>
          <w:rFonts w:ascii="Times New Roman" w:eastAsia="Times New Roman" w:hAnsi="Times New Roman"/>
          <w:sz w:val="18"/>
          <w:szCs w:val="18"/>
          <w:lang w:eastAsia="en-US"/>
        </w:rPr>
      </w:pPr>
      <w:r w:rsidRPr="00FA17B5">
        <w:rPr>
          <w:rFonts w:ascii="Times New Roman" w:eastAsia="Times New Roman" w:hAnsi="Times New Roman"/>
          <w:sz w:val="18"/>
          <w:szCs w:val="18"/>
          <w:lang w:eastAsia="en-US"/>
        </w:rPr>
        <w:t>Contact your financial advisor to purchase a LINCOLN LIFE</w:t>
      </w:r>
      <w:r w:rsidRPr="00FA17B5">
        <w:rPr>
          <w:rFonts w:ascii="Times New Roman" w:eastAsia="Times New Roman" w:hAnsi="Times New Roman"/>
          <w:sz w:val="18"/>
          <w:szCs w:val="18"/>
          <w:vertAlign w:val="superscript"/>
          <w:lang w:eastAsia="en-US"/>
        </w:rPr>
        <w:t>®</w:t>
      </w:r>
      <w:r w:rsidRPr="00FA17B5">
        <w:rPr>
          <w:rFonts w:ascii="Times New Roman" w:eastAsia="Times New Roman" w:hAnsi="Times New Roman"/>
          <w:sz w:val="18"/>
          <w:szCs w:val="18"/>
          <w:lang w:eastAsia="en-US"/>
        </w:rPr>
        <w:t xml:space="preserve"> insurance product.</w:t>
      </w:r>
    </w:p>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noProof/>
          <w:lang w:eastAsia="en-US"/>
        </w:rPr>
        <w:drawing>
          <wp:inline distT="0" distB="0" distL="0" distR="0" wp14:anchorId="2D1DF81E" wp14:editId="71C45396">
            <wp:extent cx="1250950" cy="298450"/>
            <wp:effectExtent l="0" t="0" r="6350" b="6350"/>
            <wp:docPr id="16" name="Picture 16" descr="Hello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 fu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950" cy="298450"/>
                    </a:xfrm>
                    <a:prstGeom prst="rect">
                      <a:avLst/>
                    </a:prstGeom>
                    <a:noFill/>
                    <a:ln>
                      <a:noFill/>
                    </a:ln>
                  </pic:spPr>
                </pic:pic>
              </a:graphicData>
            </a:graphic>
          </wp:inline>
        </w:drawing>
      </w:r>
    </w:p>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 xml:space="preserve">© 2013 Lincoln National Corporation. All rights reserved. </w:t>
      </w:r>
    </w:p>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br/>
      </w:r>
    </w:p>
    <w:p w:rsidR="00FA17B5" w:rsidRPr="00FA17B5" w:rsidRDefault="00FA17B5" w:rsidP="00FA17B5">
      <w:pPr>
        <w:rPr>
          <w:rFonts w:ascii="Times New Roman" w:eastAsia="Times New Roman" w:hAnsi="Times New Roman"/>
          <w:lang w:eastAsia="en-US"/>
        </w:rPr>
      </w:pPr>
      <w:r w:rsidRPr="00FA17B5">
        <w:rPr>
          <w:rFonts w:ascii="Times New Roman" w:eastAsia="Times New Roman" w:hAnsi="Times New Roman"/>
          <w:lang w:eastAsia="en-US"/>
        </w:rPr>
        <w:t>Lincoln Financial Group is the marketing name for Lincoln National Corporation and insurance</w:t>
      </w:r>
      <w:r w:rsidRPr="00FA17B5">
        <w:rPr>
          <w:rFonts w:ascii="Times New Roman" w:eastAsia="Times New Roman" w:hAnsi="Times New Roman"/>
          <w:lang w:eastAsia="en-US"/>
        </w:rPr>
        <w:br/>
        <w:t xml:space="preserve">company affiliates, including The Lincoln National Life Insurance Company, Fort Wayne, IN, </w:t>
      </w:r>
      <w:r w:rsidRPr="00FA17B5">
        <w:rPr>
          <w:rFonts w:ascii="Times New Roman" w:eastAsia="Times New Roman" w:hAnsi="Times New Roman"/>
          <w:lang w:eastAsia="en-US"/>
        </w:rPr>
        <w:br/>
        <w:t xml:space="preserve">and in New York, Lincoln Life &amp; Annuity Company of New York, Syracuse, NY. Variable products </w:t>
      </w:r>
      <w:r w:rsidRPr="00FA17B5">
        <w:rPr>
          <w:rFonts w:ascii="Times New Roman" w:eastAsia="Times New Roman" w:hAnsi="Times New Roman"/>
          <w:lang w:eastAsia="en-US"/>
        </w:rPr>
        <w:br/>
        <w:t>distributed by broker/dealer-affiliate Lincoln Financial Distributors, Inc., Radnor, PA. Securities</w:t>
      </w:r>
      <w:r w:rsidRPr="00FA17B5">
        <w:rPr>
          <w:rFonts w:ascii="Times New Roman" w:eastAsia="Times New Roman" w:hAnsi="Times New Roman"/>
          <w:lang w:eastAsia="en-US"/>
        </w:rPr>
        <w:br/>
        <w:t xml:space="preserve">and investment advisory services offered through other affiliates. </w:t>
      </w:r>
      <w:r w:rsidRPr="00FA17B5">
        <w:rPr>
          <w:rFonts w:ascii="Times New Roman" w:eastAsia="Times New Roman" w:hAnsi="Times New Roman"/>
          <w:lang w:eastAsia="en-US"/>
        </w:rPr>
        <w:br/>
      </w:r>
      <w:r w:rsidRPr="00FA17B5">
        <w:rPr>
          <w:rFonts w:ascii="Times New Roman" w:eastAsia="Times New Roman" w:hAnsi="Times New Roman"/>
          <w:lang w:eastAsia="en-US"/>
        </w:rPr>
        <w:br/>
        <w:t xml:space="preserve">LCN-2008254 </w:t>
      </w:r>
    </w:p>
    <w:p w:rsidR="0095261D" w:rsidRDefault="0095261D"/>
    <w:sectPr w:rsidR="0095261D" w:rsidSect="00FA1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78E"/>
    <w:multiLevelType w:val="multilevel"/>
    <w:tmpl w:val="AD16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647"/>
    <w:multiLevelType w:val="multilevel"/>
    <w:tmpl w:val="487A0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0077B"/>
    <w:multiLevelType w:val="multilevel"/>
    <w:tmpl w:val="5F0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54CDE"/>
    <w:multiLevelType w:val="multilevel"/>
    <w:tmpl w:val="2CAC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0548C0"/>
    <w:multiLevelType w:val="multilevel"/>
    <w:tmpl w:val="6F3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0381A"/>
    <w:multiLevelType w:val="multilevel"/>
    <w:tmpl w:val="D4DC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66765"/>
    <w:multiLevelType w:val="multilevel"/>
    <w:tmpl w:val="9C22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85464"/>
    <w:multiLevelType w:val="multilevel"/>
    <w:tmpl w:val="940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B5"/>
    <w:rsid w:val="000056F7"/>
    <w:rsid w:val="000826EB"/>
    <w:rsid w:val="00095BAC"/>
    <w:rsid w:val="000B08D6"/>
    <w:rsid w:val="000D3C84"/>
    <w:rsid w:val="0011186D"/>
    <w:rsid w:val="00193DFB"/>
    <w:rsid w:val="001B1ADF"/>
    <w:rsid w:val="00221EBA"/>
    <w:rsid w:val="00253C62"/>
    <w:rsid w:val="00266E63"/>
    <w:rsid w:val="002B6AA8"/>
    <w:rsid w:val="002D3A9C"/>
    <w:rsid w:val="0030492A"/>
    <w:rsid w:val="00333DBA"/>
    <w:rsid w:val="0037114E"/>
    <w:rsid w:val="003B5948"/>
    <w:rsid w:val="003B749D"/>
    <w:rsid w:val="003C0568"/>
    <w:rsid w:val="003F61D9"/>
    <w:rsid w:val="00454555"/>
    <w:rsid w:val="00491E93"/>
    <w:rsid w:val="004B7A7D"/>
    <w:rsid w:val="005151DD"/>
    <w:rsid w:val="00520553"/>
    <w:rsid w:val="00531D89"/>
    <w:rsid w:val="006133BF"/>
    <w:rsid w:val="006527EB"/>
    <w:rsid w:val="00661780"/>
    <w:rsid w:val="006B1081"/>
    <w:rsid w:val="00705564"/>
    <w:rsid w:val="00707036"/>
    <w:rsid w:val="007F161A"/>
    <w:rsid w:val="007F7D3D"/>
    <w:rsid w:val="00863B8B"/>
    <w:rsid w:val="00874403"/>
    <w:rsid w:val="008A7B65"/>
    <w:rsid w:val="009015C2"/>
    <w:rsid w:val="00921025"/>
    <w:rsid w:val="00925069"/>
    <w:rsid w:val="0095261D"/>
    <w:rsid w:val="009715C6"/>
    <w:rsid w:val="00A030C8"/>
    <w:rsid w:val="00A059AA"/>
    <w:rsid w:val="00A44425"/>
    <w:rsid w:val="00A7782D"/>
    <w:rsid w:val="00A82A9F"/>
    <w:rsid w:val="00AB0E7C"/>
    <w:rsid w:val="00B03CE9"/>
    <w:rsid w:val="00B23F5C"/>
    <w:rsid w:val="00C85A13"/>
    <w:rsid w:val="00CA211A"/>
    <w:rsid w:val="00D80777"/>
    <w:rsid w:val="00DD5E8E"/>
    <w:rsid w:val="00E05914"/>
    <w:rsid w:val="00E44BE0"/>
    <w:rsid w:val="00E65736"/>
    <w:rsid w:val="00E66C2E"/>
    <w:rsid w:val="00E73482"/>
    <w:rsid w:val="00EA0DC2"/>
    <w:rsid w:val="00EA55C4"/>
    <w:rsid w:val="00F07523"/>
    <w:rsid w:val="00F22C8E"/>
    <w:rsid w:val="00F4206A"/>
    <w:rsid w:val="00F842AE"/>
    <w:rsid w:val="00FA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93"/>
    <w:pPr>
      <w:spacing w:after="0" w:line="240" w:lineRule="auto"/>
    </w:pPr>
    <w:rPr>
      <w:rFonts w:ascii="Century Gothic" w:eastAsia="SimSun" w:hAnsi="Century Gothic"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7B5"/>
    <w:rPr>
      <w:rFonts w:ascii="Tahoma" w:hAnsi="Tahoma" w:cs="Tahoma"/>
      <w:sz w:val="16"/>
      <w:szCs w:val="16"/>
    </w:rPr>
  </w:style>
  <w:style w:type="character" w:customStyle="1" w:styleId="BalloonTextChar">
    <w:name w:val="Balloon Text Char"/>
    <w:basedOn w:val="DefaultParagraphFont"/>
    <w:link w:val="BalloonText"/>
    <w:uiPriority w:val="99"/>
    <w:semiHidden/>
    <w:rsid w:val="00FA17B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93"/>
    <w:pPr>
      <w:spacing w:after="0" w:line="240" w:lineRule="auto"/>
    </w:pPr>
    <w:rPr>
      <w:rFonts w:ascii="Century Gothic" w:eastAsia="SimSun" w:hAnsi="Century Gothic"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7B5"/>
    <w:rPr>
      <w:rFonts w:ascii="Tahoma" w:hAnsi="Tahoma" w:cs="Tahoma"/>
      <w:sz w:val="16"/>
      <w:szCs w:val="16"/>
    </w:rPr>
  </w:style>
  <w:style w:type="character" w:customStyle="1" w:styleId="BalloonTextChar">
    <w:name w:val="Balloon Text Char"/>
    <w:basedOn w:val="DefaultParagraphFont"/>
    <w:link w:val="BalloonText"/>
    <w:uiPriority w:val="99"/>
    <w:semiHidden/>
    <w:rsid w:val="00FA17B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4984">
      <w:bodyDiv w:val="1"/>
      <w:marLeft w:val="0"/>
      <w:marRight w:val="0"/>
      <w:marTop w:val="0"/>
      <w:marBottom w:val="0"/>
      <w:divBdr>
        <w:top w:val="none" w:sz="0" w:space="0" w:color="auto"/>
        <w:left w:val="none" w:sz="0" w:space="0" w:color="auto"/>
        <w:bottom w:val="none" w:sz="0" w:space="0" w:color="auto"/>
        <w:right w:val="none" w:sz="0" w:space="0" w:color="auto"/>
      </w:divBdr>
      <w:divsChild>
        <w:div w:id="454641147">
          <w:marLeft w:val="0"/>
          <w:marRight w:val="0"/>
          <w:marTop w:val="0"/>
          <w:marBottom w:val="0"/>
          <w:divBdr>
            <w:top w:val="none" w:sz="0" w:space="0" w:color="auto"/>
            <w:left w:val="none" w:sz="0" w:space="0" w:color="auto"/>
            <w:bottom w:val="none" w:sz="0" w:space="0" w:color="auto"/>
            <w:right w:val="none" w:sz="0" w:space="0" w:color="auto"/>
          </w:divBdr>
          <w:divsChild>
            <w:div w:id="1771582929">
              <w:marLeft w:val="0"/>
              <w:marRight w:val="0"/>
              <w:marTop w:val="0"/>
              <w:marBottom w:val="0"/>
              <w:divBdr>
                <w:top w:val="none" w:sz="0" w:space="0" w:color="auto"/>
                <w:left w:val="none" w:sz="0" w:space="0" w:color="auto"/>
                <w:bottom w:val="none" w:sz="0" w:space="0" w:color="auto"/>
                <w:right w:val="none" w:sz="0" w:space="0" w:color="auto"/>
              </w:divBdr>
              <w:divsChild>
                <w:div w:id="1902670929">
                  <w:marLeft w:val="0"/>
                  <w:marRight w:val="0"/>
                  <w:marTop w:val="0"/>
                  <w:marBottom w:val="0"/>
                  <w:divBdr>
                    <w:top w:val="none" w:sz="0" w:space="0" w:color="auto"/>
                    <w:left w:val="none" w:sz="0" w:space="0" w:color="auto"/>
                    <w:bottom w:val="none" w:sz="0" w:space="0" w:color="auto"/>
                    <w:right w:val="none" w:sz="0" w:space="0" w:color="auto"/>
                  </w:divBdr>
                  <w:divsChild>
                    <w:div w:id="2107382926">
                      <w:marLeft w:val="0"/>
                      <w:marRight w:val="0"/>
                      <w:marTop w:val="0"/>
                      <w:marBottom w:val="0"/>
                      <w:divBdr>
                        <w:top w:val="none" w:sz="0" w:space="0" w:color="auto"/>
                        <w:left w:val="none" w:sz="0" w:space="0" w:color="auto"/>
                        <w:bottom w:val="none" w:sz="0" w:space="0" w:color="auto"/>
                        <w:right w:val="none" w:sz="0" w:space="0" w:color="auto"/>
                      </w:divBdr>
                    </w:div>
                    <w:div w:id="1957565841">
                      <w:marLeft w:val="0"/>
                      <w:marRight w:val="0"/>
                      <w:marTop w:val="0"/>
                      <w:marBottom w:val="0"/>
                      <w:divBdr>
                        <w:top w:val="none" w:sz="0" w:space="0" w:color="auto"/>
                        <w:left w:val="none" w:sz="0" w:space="0" w:color="auto"/>
                        <w:bottom w:val="none" w:sz="0" w:space="0" w:color="auto"/>
                        <w:right w:val="none" w:sz="0" w:space="0" w:color="auto"/>
                      </w:divBdr>
                    </w:div>
                    <w:div w:id="1717503280">
                      <w:marLeft w:val="0"/>
                      <w:marRight w:val="0"/>
                      <w:marTop w:val="0"/>
                      <w:marBottom w:val="0"/>
                      <w:divBdr>
                        <w:top w:val="none" w:sz="0" w:space="0" w:color="auto"/>
                        <w:left w:val="none" w:sz="0" w:space="0" w:color="auto"/>
                        <w:bottom w:val="none" w:sz="0" w:space="0" w:color="auto"/>
                        <w:right w:val="none" w:sz="0" w:space="0" w:color="auto"/>
                      </w:divBdr>
                    </w:div>
                    <w:div w:id="129448747">
                      <w:marLeft w:val="0"/>
                      <w:marRight w:val="0"/>
                      <w:marTop w:val="0"/>
                      <w:marBottom w:val="0"/>
                      <w:divBdr>
                        <w:top w:val="none" w:sz="0" w:space="0" w:color="auto"/>
                        <w:left w:val="none" w:sz="0" w:space="0" w:color="auto"/>
                        <w:bottom w:val="none" w:sz="0" w:space="0" w:color="auto"/>
                        <w:right w:val="none" w:sz="0" w:space="0" w:color="auto"/>
                      </w:divBdr>
                    </w:div>
                  </w:divsChild>
                </w:div>
                <w:div w:id="438306336">
                  <w:marLeft w:val="0"/>
                  <w:marRight w:val="0"/>
                  <w:marTop w:val="0"/>
                  <w:marBottom w:val="0"/>
                  <w:divBdr>
                    <w:top w:val="none" w:sz="0" w:space="0" w:color="auto"/>
                    <w:left w:val="none" w:sz="0" w:space="0" w:color="auto"/>
                    <w:bottom w:val="none" w:sz="0" w:space="0" w:color="auto"/>
                    <w:right w:val="none" w:sz="0" w:space="0" w:color="auto"/>
                  </w:divBdr>
                </w:div>
                <w:div w:id="655454890">
                  <w:marLeft w:val="0"/>
                  <w:marRight w:val="0"/>
                  <w:marTop w:val="0"/>
                  <w:marBottom w:val="0"/>
                  <w:divBdr>
                    <w:top w:val="none" w:sz="0" w:space="0" w:color="auto"/>
                    <w:left w:val="none" w:sz="0" w:space="0" w:color="auto"/>
                    <w:bottom w:val="none" w:sz="0" w:space="0" w:color="auto"/>
                    <w:right w:val="none" w:sz="0" w:space="0" w:color="auto"/>
                  </w:divBdr>
                  <w:divsChild>
                    <w:div w:id="2085570156">
                      <w:marLeft w:val="0"/>
                      <w:marRight w:val="0"/>
                      <w:marTop w:val="0"/>
                      <w:marBottom w:val="0"/>
                      <w:divBdr>
                        <w:top w:val="none" w:sz="0" w:space="0" w:color="auto"/>
                        <w:left w:val="none" w:sz="0" w:space="0" w:color="auto"/>
                        <w:bottom w:val="none" w:sz="0" w:space="0" w:color="auto"/>
                        <w:right w:val="none" w:sz="0" w:space="0" w:color="auto"/>
                      </w:divBdr>
                    </w:div>
                  </w:divsChild>
                </w:div>
                <w:div w:id="1763838879">
                  <w:marLeft w:val="0"/>
                  <w:marRight w:val="0"/>
                  <w:marTop w:val="0"/>
                  <w:marBottom w:val="0"/>
                  <w:divBdr>
                    <w:top w:val="none" w:sz="0" w:space="0" w:color="auto"/>
                    <w:left w:val="none" w:sz="0" w:space="0" w:color="auto"/>
                    <w:bottom w:val="none" w:sz="0" w:space="0" w:color="auto"/>
                    <w:right w:val="none" w:sz="0" w:space="0" w:color="auto"/>
                  </w:divBdr>
                  <w:divsChild>
                    <w:div w:id="1978953289">
                      <w:marLeft w:val="0"/>
                      <w:marRight w:val="0"/>
                      <w:marTop w:val="0"/>
                      <w:marBottom w:val="0"/>
                      <w:divBdr>
                        <w:top w:val="none" w:sz="0" w:space="0" w:color="auto"/>
                        <w:left w:val="none" w:sz="0" w:space="0" w:color="auto"/>
                        <w:bottom w:val="none" w:sz="0" w:space="0" w:color="auto"/>
                        <w:right w:val="none" w:sz="0" w:space="0" w:color="auto"/>
                      </w:divBdr>
                    </w:div>
                    <w:div w:id="1420129961">
                      <w:marLeft w:val="0"/>
                      <w:marRight w:val="0"/>
                      <w:marTop w:val="0"/>
                      <w:marBottom w:val="0"/>
                      <w:divBdr>
                        <w:top w:val="none" w:sz="0" w:space="0" w:color="auto"/>
                        <w:left w:val="none" w:sz="0" w:space="0" w:color="auto"/>
                        <w:bottom w:val="none" w:sz="0" w:space="0" w:color="auto"/>
                        <w:right w:val="none" w:sz="0" w:space="0" w:color="auto"/>
                      </w:divBdr>
                      <w:divsChild>
                        <w:div w:id="2142768052">
                          <w:marLeft w:val="0"/>
                          <w:marRight w:val="0"/>
                          <w:marTop w:val="0"/>
                          <w:marBottom w:val="0"/>
                          <w:divBdr>
                            <w:top w:val="none" w:sz="0" w:space="0" w:color="auto"/>
                            <w:left w:val="none" w:sz="0" w:space="0" w:color="auto"/>
                            <w:bottom w:val="none" w:sz="0" w:space="0" w:color="auto"/>
                            <w:right w:val="none" w:sz="0" w:space="0" w:color="auto"/>
                          </w:divBdr>
                        </w:div>
                        <w:div w:id="1134446488">
                          <w:marLeft w:val="0"/>
                          <w:marRight w:val="0"/>
                          <w:marTop w:val="0"/>
                          <w:marBottom w:val="0"/>
                          <w:divBdr>
                            <w:top w:val="none" w:sz="0" w:space="0" w:color="auto"/>
                            <w:left w:val="none" w:sz="0" w:space="0" w:color="auto"/>
                            <w:bottom w:val="none" w:sz="0" w:space="0" w:color="auto"/>
                            <w:right w:val="none" w:sz="0" w:space="0" w:color="auto"/>
                          </w:divBdr>
                        </w:div>
                        <w:div w:id="843280229">
                          <w:marLeft w:val="0"/>
                          <w:marRight w:val="0"/>
                          <w:marTop w:val="0"/>
                          <w:marBottom w:val="0"/>
                          <w:divBdr>
                            <w:top w:val="none" w:sz="0" w:space="0" w:color="auto"/>
                            <w:left w:val="none" w:sz="0" w:space="0" w:color="auto"/>
                            <w:bottom w:val="none" w:sz="0" w:space="0" w:color="auto"/>
                            <w:right w:val="none" w:sz="0" w:space="0" w:color="auto"/>
                          </w:divBdr>
                        </w:div>
                        <w:div w:id="587157654">
                          <w:marLeft w:val="0"/>
                          <w:marRight w:val="0"/>
                          <w:marTop w:val="0"/>
                          <w:marBottom w:val="0"/>
                          <w:divBdr>
                            <w:top w:val="none" w:sz="0" w:space="0" w:color="auto"/>
                            <w:left w:val="none" w:sz="0" w:space="0" w:color="auto"/>
                            <w:bottom w:val="none" w:sz="0" w:space="0" w:color="auto"/>
                            <w:right w:val="none" w:sz="0" w:space="0" w:color="auto"/>
                          </w:divBdr>
                        </w:div>
                        <w:div w:id="1495143281">
                          <w:marLeft w:val="0"/>
                          <w:marRight w:val="0"/>
                          <w:marTop w:val="0"/>
                          <w:marBottom w:val="0"/>
                          <w:divBdr>
                            <w:top w:val="none" w:sz="0" w:space="0" w:color="auto"/>
                            <w:left w:val="none" w:sz="0" w:space="0" w:color="auto"/>
                            <w:bottom w:val="none" w:sz="0" w:space="0" w:color="auto"/>
                            <w:right w:val="none" w:sz="0" w:space="0" w:color="auto"/>
                          </w:divBdr>
                        </w:div>
                        <w:div w:id="1715349279">
                          <w:marLeft w:val="0"/>
                          <w:marRight w:val="0"/>
                          <w:marTop w:val="0"/>
                          <w:marBottom w:val="0"/>
                          <w:divBdr>
                            <w:top w:val="none" w:sz="0" w:space="0" w:color="auto"/>
                            <w:left w:val="none" w:sz="0" w:space="0" w:color="auto"/>
                            <w:bottom w:val="none" w:sz="0" w:space="0" w:color="auto"/>
                            <w:right w:val="none" w:sz="0" w:space="0" w:color="auto"/>
                          </w:divBdr>
                        </w:div>
                      </w:divsChild>
                    </w:div>
                    <w:div w:id="1398043779">
                      <w:marLeft w:val="0"/>
                      <w:marRight w:val="0"/>
                      <w:marTop w:val="0"/>
                      <w:marBottom w:val="0"/>
                      <w:divBdr>
                        <w:top w:val="none" w:sz="0" w:space="0" w:color="auto"/>
                        <w:left w:val="none" w:sz="0" w:space="0" w:color="auto"/>
                        <w:bottom w:val="none" w:sz="0" w:space="0" w:color="auto"/>
                        <w:right w:val="none" w:sz="0" w:space="0" w:color="auto"/>
                      </w:divBdr>
                      <w:divsChild>
                        <w:div w:id="527837095">
                          <w:marLeft w:val="0"/>
                          <w:marRight w:val="0"/>
                          <w:marTop w:val="0"/>
                          <w:marBottom w:val="0"/>
                          <w:divBdr>
                            <w:top w:val="none" w:sz="0" w:space="0" w:color="auto"/>
                            <w:left w:val="none" w:sz="0" w:space="0" w:color="auto"/>
                            <w:bottom w:val="none" w:sz="0" w:space="0" w:color="auto"/>
                            <w:right w:val="none" w:sz="0" w:space="0" w:color="auto"/>
                          </w:divBdr>
                          <w:divsChild>
                            <w:div w:id="20336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1965">
                  <w:marLeft w:val="0"/>
                  <w:marRight w:val="0"/>
                  <w:marTop w:val="0"/>
                  <w:marBottom w:val="0"/>
                  <w:divBdr>
                    <w:top w:val="none" w:sz="0" w:space="0" w:color="auto"/>
                    <w:left w:val="none" w:sz="0" w:space="0" w:color="auto"/>
                    <w:bottom w:val="none" w:sz="0" w:space="0" w:color="auto"/>
                    <w:right w:val="none" w:sz="0" w:space="0" w:color="auto"/>
                  </w:divBdr>
                </w:div>
                <w:div w:id="1493644891">
                  <w:marLeft w:val="0"/>
                  <w:marRight w:val="0"/>
                  <w:marTop w:val="0"/>
                  <w:marBottom w:val="0"/>
                  <w:divBdr>
                    <w:top w:val="none" w:sz="0" w:space="0" w:color="auto"/>
                    <w:left w:val="none" w:sz="0" w:space="0" w:color="auto"/>
                    <w:bottom w:val="none" w:sz="0" w:space="0" w:color="auto"/>
                    <w:right w:val="none" w:sz="0" w:space="0" w:color="auto"/>
                  </w:divBdr>
                  <w:divsChild>
                    <w:div w:id="1105230999">
                      <w:marLeft w:val="0"/>
                      <w:marRight w:val="0"/>
                      <w:marTop w:val="0"/>
                      <w:marBottom w:val="0"/>
                      <w:divBdr>
                        <w:top w:val="none" w:sz="0" w:space="0" w:color="auto"/>
                        <w:left w:val="none" w:sz="0" w:space="0" w:color="auto"/>
                        <w:bottom w:val="none" w:sz="0" w:space="0" w:color="auto"/>
                        <w:right w:val="none" w:sz="0" w:space="0" w:color="auto"/>
                      </w:divBdr>
                      <w:divsChild>
                        <w:div w:id="1237283141">
                          <w:marLeft w:val="0"/>
                          <w:marRight w:val="0"/>
                          <w:marTop w:val="0"/>
                          <w:marBottom w:val="0"/>
                          <w:divBdr>
                            <w:top w:val="none" w:sz="0" w:space="0" w:color="auto"/>
                            <w:left w:val="none" w:sz="0" w:space="0" w:color="auto"/>
                            <w:bottom w:val="none" w:sz="0" w:space="0" w:color="auto"/>
                            <w:right w:val="none" w:sz="0" w:space="0" w:color="auto"/>
                          </w:divBdr>
                        </w:div>
                        <w:div w:id="73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5927">
          <w:marLeft w:val="0"/>
          <w:marRight w:val="0"/>
          <w:marTop w:val="0"/>
          <w:marBottom w:val="0"/>
          <w:divBdr>
            <w:top w:val="none" w:sz="0" w:space="0" w:color="auto"/>
            <w:left w:val="none" w:sz="0" w:space="0" w:color="auto"/>
            <w:bottom w:val="none" w:sz="0" w:space="0" w:color="auto"/>
            <w:right w:val="none" w:sz="0" w:space="0" w:color="auto"/>
          </w:divBdr>
        </w:div>
      </w:divsChild>
    </w:div>
    <w:div w:id="1581065399">
      <w:bodyDiv w:val="1"/>
      <w:marLeft w:val="0"/>
      <w:marRight w:val="0"/>
      <w:marTop w:val="0"/>
      <w:marBottom w:val="0"/>
      <w:divBdr>
        <w:top w:val="none" w:sz="0" w:space="0" w:color="auto"/>
        <w:left w:val="none" w:sz="0" w:space="0" w:color="auto"/>
        <w:bottom w:val="none" w:sz="0" w:space="0" w:color="auto"/>
        <w:right w:val="none" w:sz="0" w:space="0" w:color="auto"/>
      </w:divBdr>
      <w:divsChild>
        <w:div w:id="2043166064">
          <w:marLeft w:val="0"/>
          <w:marRight w:val="0"/>
          <w:marTop w:val="0"/>
          <w:marBottom w:val="0"/>
          <w:divBdr>
            <w:top w:val="none" w:sz="0" w:space="0" w:color="auto"/>
            <w:left w:val="none" w:sz="0" w:space="0" w:color="auto"/>
            <w:bottom w:val="none" w:sz="0" w:space="0" w:color="auto"/>
            <w:right w:val="none" w:sz="0" w:space="0" w:color="auto"/>
          </w:divBdr>
          <w:divsChild>
            <w:div w:id="1063259917">
              <w:marLeft w:val="0"/>
              <w:marRight w:val="0"/>
              <w:marTop w:val="0"/>
              <w:marBottom w:val="0"/>
              <w:divBdr>
                <w:top w:val="none" w:sz="0" w:space="0" w:color="auto"/>
                <w:left w:val="none" w:sz="0" w:space="0" w:color="auto"/>
                <w:bottom w:val="none" w:sz="0" w:space="0" w:color="auto"/>
                <w:right w:val="none" w:sz="0" w:space="0" w:color="auto"/>
              </w:divBdr>
              <w:divsChild>
                <w:div w:id="375391753">
                  <w:marLeft w:val="0"/>
                  <w:marRight w:val="0"/>
                  <w:marTop w:val="0"/>
                  <w:marBottom w:val="0"/>
                  <w:divBdr>
                    <w:top w:val="none" w:sz="0" w:space="0" w:color="auto"/>
                    <w:left w:val="none" w:sz="0" w:space="0" w:color="auto"/>
                    <w:bottom w:val="none" w:sz="0" w:space="0" w:color="auto"/>
                    <w:right w:val="none" w:sz="0" w:space="0" w:color="auto"/>
                  </w:divBdr>
                  <w:divsChild>
                    <w:div w:id="1716201023">
                      <w:marLeft w:val="0"/>
                      <w:marRight w:val="0"/>
                      <w:marTop w:val="0"/>
                      <w:marBottom w:val="0"/>
                      <w:divBdr>
                        <w:top w:val="none" w:sz="0" w:space="0" w:color="auto"/>
                        <w:left w:val="none" w:sz="0" w:space="0" w:color="auto"/>
                        <w:bottom w:val="none" w:sz="0" w:space="0" w:color="auto"/>
                        <w:right w:val="none" w:sz="0" w:space="0" w:color="auto"/>
                      </w:divBdr>
                    </w:div>
                    <w:div w:id="1522280119">
                      <w:marLeft w:val="0"/>
                      <w:marRight w:val="0"/>
                      <w:marTop w:val="0"/>
                      <w:marBottom w:val="0"/>
                      <w:divBdr>
                        <w:top w:val="none" w:sz="0" w:space="0" w:color="auto"/>
                        <w:left w:val="none" w:sz="0" w:space="0" w:color="auto"/>
                        <w:bottom w:val="none" w:sz="0" w:space="0" w:color="auto"/>
                        <w:right w:val="none" w:sz="0" w:space="0" w:color="auto"/>
                      </w:divBdr>
                    </w:div>
                    <w:div w:id="1093017931">
                      <w:marLeft w:val="0"/>
                      <w:marRight w:val="0"/>
                      <w:marTop w:val="0"/>
                      <w:marBottom w:val="0"/>
                      <w:divBdr>
                        <w:top w:val="none" w:sz="0" w:space="0" w:color="auto"/>
                        <w:left w:val="none" w:sz="0" w:space="0" w:color="auto"/>
                        <w:bottom w:val="none" w:sz="0" w:space="0" w:color="auto"/>
                        <w:right w:val="none" w:sz="0" w:space="0" w:color="auto"/>
                      </w:divBdr>
                    </w:div>
                    <w:div w:id="1503204858">
                      <w:marLeft w:val="0"/>
                      <w:marRight w:val="0"/>
                      <w:marTop w:val="0"/>
                      <w:marBottom w:val="0"/>
                      <w:divBdr>
                        <w:top w:val="none" w:sz="0" w:space="0" w:color="auto"/>
                        <w:left w:val="none" w:sz="0" w:space="0" w:color="auto"/>
                        <w:bottom w:val="none" w:sz="0" w:space="0" w:color="auto"/>
                        <w:right w:val="none" w:sz="0" w:space="0" w:color="auto"/>
                      </w:divBdr>
                    </w:div>
                  </w:divsChild>
                </w:div>
                <w:div w:id="1068504355">
                  <w:marLeft w:val="0"/>
                  <w:marRight w:val="0"/>
                  <w:marTop w:val="0"/>
                  <w:marBottom w:val="0"/>
                  <w:divBdr>
                    <w:top w:val="none" w:sz="0" w:space="0" w:color="auto"/>
                    <w:left w:val="none" w:sz="0" w:space="0" w:color="auto"/>
                    <w:bottom w:val="none" w:sz="0" w:space="0" w:color="auto"/>
                    <w:right w:val="none" w:sz="0" w:space="0" w:color="auto"/>
                  </w:divBdr>
                </w:div>
                <w:div w:id="1348171019">
                  <w:marLeft w:val="0"/>
                  <w:marRight w:val="0"/>
                  <w:marTop w:val="0"/>
                  <w:marBottom w:val="0"/>
                  <w:divBdr>
                    <w:top w:val="none" w:sz="0" w:space="0" w:color="auto"/>
                    <w:left w:val="none" w:sz="0" w:space="0" w:color="auto"/>
                    <w:bottom w:val="none" w:sz="0" w:space="0" w:color="auto"/>
                    <w:right w:val="none" w:sz="0" w:space="0" w:color="auto"/>
                  </w:divBdr>
                  <w:divsChild>
                    <w:div w:id="1710106172">
                      <w:marLeft w:val="0"/>
                      <w:marRight w:val="0"/>
                      <w:marTop w:val="0"/>
                      <w:marBottom w:val="0"/>
                      <w:divBdr>
                        <w:top w:val="none" w:sz="0" w:space="0" w:color="auto"/>
                        <w:left w:val="none" w:sz="0" w:space="0" w:color="auto"/>
                        <w:bottom w:val="none" w:sz="0" w:space="0" w:color="auto"/>
                        <w:right w:val="none" w:sz="0" w:space="0" w:color="auto"/>
                      </w:divBdr>
                    </w:div>
                  </w:divsChild>
                </w:div>
                <w:div w:id="1608388837">
                  <w:marLeft w:val="0"/>
                  <w:marRight w:val="0"/>
                  <w:marTop w:val="0"/>
                  <w:marBottom w:val="0"/>
                  <w:divBdr>
                    <w:top w:val="none" w:sz="0" w:space="0" w:color="auto"/>
                    <w:left w:val="none" w:sz="0" w:space="0" w:color="auto"/>
                    <w:bottom w:val="none" w:sz="0" w:space="0" w:color="auto"/>
                    <w:right w:val="none" w:sz="0" w:space="0" w:color="auto"/>
                  </w:divBdr>
                  <w:divsChild>
                    <w:div w:id="478965455">
                      <w:marLeft w:val="0"/>
                      <w:marRight w:val="0"/>
                      <w:marTop w:val="0"/>
                      <w:marBottom w:val="0"/>
                      <w:divBdr>
                        <w:top w:val="none" w:sz="0" w:space="0" w:color="auto"/>
                        <w:left w:val="none" w:sz="0" w:space="0" w:color="auto"/>
                        <w:bottom w:val="none" w:sz="0" w:space="0" w:color="auto"/>
                        <w:right w:val="none" w:sz="0" w:space="0" w:color="auto"/>
                      </w:divBdr>
                    </w:div>
                    <w:div w:id="323167785">
                      <w:marLeft w:val="0"/>
                      <w:marRight w:val="0"/>
                      <w:marTop w:val="0"/>
                      <w:marBottom w:val="0"/>
                      <w:divBdr>
                        <w:top w:val="none" w:sz="0" w:space="0" w:color="auto"/>
                        <w:left w:val="none" w:sz="0" w:space="0" w:color="auto"/>
                        <w:bottom w:val="none" w:sz="0" w:space="0" w:color="auto"/>
                        <w:right w:val="none" w:sz="0" w:space="0" w:color="auto"/>
                      </w:divBdr>
                      <w:divsChild>
                        <w:div w:id="710307842">
                          <w:marLeft w:val="0"/>
                          <w:marRight w:val="0"/>
                          <w:marTop w:val="0"/>
                          <w:marBottom w:val="0"/>
                          <w:divBdr>
                            <w:top w:val="none" w:sz="0" w:space="0" w:color="auto"/>
                            <w:left w:val="none" w:sz="0" w:space="0" w:color="auto"/>
                            <w:bottom w:val="none" w:sz="0" w:space="0" w:color="auto"/>
                            <w:right w:val="none" w:sz="0" w:space="0" w:color="auto"/>
                          </w:divBdr>
                        </w:div>
                        <w:div w:id="1205942813">
                          <w:marLeft w:val="0"/>
                          <w:marRight w:val="0"/>
                          <w:marTop w:val="0"/>
                          <w:marBottom w:val="0"/>
                          <w:divBdr>
                            <w:top w:val="none" w:sz="0" w:space="0" w:color="auto"/>
                            <w:left w:val="none" w:sz="0" w:space="0" w:color="auto"/>
                            <w:bottom w:val="none" w:sz="0" w:space="0" w:color="auto"/>
                            <w:right w:val="none" w:sz="0" w:space="0" w:color="auto"/>
                          </w:divBdr>
                        </w:div>
                        <w:div w:id="217204735">
                          <w:marLeft w:val="0"/>
                          <w:marRight w:val="0"/>
                          <w:marTop w:val="0"/>
                          <w:marBottom w:val="0"/>
                          <w:divBdr>
                            <w:top w:val="none" w:sz="0" w:space="0" w:color="auto"/>
                            <w:left w:val="none" w:sz="0" w:space="0" w:color="auto"/>
                            <w:bottom w:val="none" w:sz="0" w:space="0" w:color="auto"/>
                            <w:right w:val="none" w:sz="0" w:space="0" w:color="auto"/>
                          </w:divBdr>
                        </w:div>
                        <w:div w:id="562639365">
                          <w:marLeft w:val="0"/>
                          <w:marRight w:val="0"/>
                          <w:marTop w:val="0"/>
                          <w:marBottom w:val="0"/>
                          <w:divBdr>
                            <w:top w:val="none" w:sz="0" w:space="0" w:color="auto"/>
                            <w:left w:val="none" w:sz="0" w:space="0" w:color="auto"/>
                            <w:bottom w:val="none" w:sz="0" w:space="0" w:color="auto"/>
                            <w:right w:val="none" w:sz="0" w:space="0" w:color="auto"/>
                          </w:divBdr>
                        </w:div>
                        <w:div w:id="1485853446">
                          <w:marLeft w:val="0"/>
                          <w:marRight w:val="0"/>
                          <w:marTop w:val="0"/>
                          <w:marBottom w:val="0"/>
                          <w:divBdr>
                            <w:top w:val="none" w:sz="0" w:space="0" w:color="auto"/>
                            <w:left w:val="none" w:sz="0" w:space="0" w:color="auto"/>
                            <w:bottom w:val="none" w:sz="0" w:space="0" w:color="auto"/>
                            <w:right w:val="none" w:sz="0" w:space="0" w:color="auto"/>
                          </w:divBdr>
                        </w:div>
                        <w:div w:id="1408728967">
                          <w:marLeft w:val="0"/>
                          <w:marRight w:val="0"/>
                          <w:marTop w:val="0"/>
                          <w:marBottom w:val="0"/>
                          <w:divBdr>
                            <w:top w:val="none" w:sz="0" w:space="0" w:color="auto"/>
                            <w:left w:val="none" w:sz="0" w:space="0" w:color="auto"/>
                            <w:bottom w:val="none" w:sz="0" w:space="0" w:color="auto"/>
                            <w:right w:val="none" w:sz="0" w:space="0" w:color="auto"/>
                          </w:divBdr>
                        </w:div>
                      </w:divsChild>
                    </w:div>
                    <w:div w:id="264925161">
                      <w:marLeft w:val="0"/>
                      <w:marRight w:val="0"/>
                      <w:marTop w:val="0"/>
                      <w:marBottom w:val="0"/>
                      <w:divBdr>
                        <w:top w:val="none" w:sz="0" w:space="0" w:color="auto"/>
                        <w:left w:val="none" w:sz="0" w:space="0" w:color="auto"/>
                        <w:bottom w:val="none" w:sz="0" w:space="0" w:color="auto"/>
                        <w:right w:val="none" w:sz="0" w:space="0" w:color="auto"/>
                      </w:divBdr>
                      <w:divsChild>
                        <w:div w:id="1145700706">
                          <w:marLeft w:val="0"/>
                          <w:marRight w:val="0"/>
                          <w:marTop w:val="0"/>
                          <w:marBottom w:val="0"/>
                          <w:divBdr>
                            <w:top w:val="none" w:sz="0" w:space="0" w:color="auto"/>
                            <w:left w:val="none" w:sz="0" w:space="0" w:color="auto"/>
                            <w:bottom w:val="none" w:sz="0" w:space="0" w:color="auto"/>
                            <w:right w:val="none" w:sz="0" w:space="0" w:color="auto"/>
                          </w:divBdr>
                          <w:divsChild>
                            <w:div w:id="9734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445">
                  <w:marLeft w:val="0"/>
                  <w:marRight w:val="0"/>
                  <w:marTop w:val="0"/>
                  <w:marBottom w:val="0"/>
                  <w:divBdr>
                    <w:top w:val="none" w:sz="0" w:space="0" w:color="auto"/>
                    <w:left w:val="none" w:sz="0" w:space="0" w:color="auto"/>
                    <w:bottom w:val="none" w:sz="0" w:space="0" w:color="auto"/>
                    <w:right w:val="none" w:sz="0" w:space="0" w:color="auto"/>
                  </w:divBdr>
                </w:div>
                <w:div w:id="191038766">
                  <w:marLeft w:val="0"/>
                  <w:marRight w:val="0"/>
                  <w:marTop w:val="0"/>
                  <w:marBottom w:val="0"/>
                  <w:divBdr>
                    <w:top w:val="none" w:sz="0" w:space="0" w:color="auto"/>
                    <w:left w:val="none" w:sz="0" w:space="0" w:color="auto"/>
                    <w:bottom w:val="none" w:sz="0" w:space="0" w:color="auto"/>
                    <w:right w:val="none" w:sz="0" w:space="0" w:color="auto"/>
                  </w:divBdr>
                  <w:divsChild>
                    <w:div w:id="1446584189">
                      <w:marLeft w:val="0"/>
                      <w:marRight w:val="0"/>
                      <w:marTop w:val="0"/>
                      <w:marBottom w:val="0"/>
                      <w:divBdr>
                        <w:top w:val="none" w:sz="0" w:space="0" w:color="auto"/>
                        <w:left w:val="none" w:sz="0" w:space="0" w:color="auto"/>
                        <w:bottom w:val="none" w:sz="0" w:space="0" w:color="auto"/>
                        <w:right w:val="none" w:sz="0" w:space="0" w:color="auto"/>
                      </w:divBdr>
                      <w:divsChild>
                        <w:div w:id="585573981">
                          <w:marLeft w:val="0"/>
                          <w:marRight w:val="0"/>
                          <w:marTop w:val="0"/>
                          <w:marBottom w:val="0"/>
                          <w:divBdr>
                            <w:top w:val="none" w:sz="0" w:space="0" w:color="auto"/>
                            <w:left w:val="none" w:sz="0" w:space="0" w:color="auto"/>
                            <w:bottom w:val="none" w:sz="0" w:space="0" w:color="auto"/>
                            <w:right w:val="none" w:sz="0" w:space="0" w:color="auto"/>
                          </w:divBdr>
                        </w:div>
                        <w:div w:id="13030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4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lfg.com/LincolnPageServer?LFGPage=/lfg/lfgclient/fprod/life/index.html&amp;LFGContentID=/lfg/llc/prd/all/aag/tr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s://www.lfg.com/LincolnPageServer?LFGPage=/lfg/lfgclient/fprod/life/index.html&amp;LFGContentID=/lfg/lfgclient/fprod/ltc"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s://www.lfg.com/LincolnPageServer?LFGPage=/lfg/lfgclient/fprod/life/index.html&amp;LFGContentID=/lfg/lfgclient/fprod/lt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lfg.com/LincolnPageServer?LFGPage=/lfg/lfgclient/fprod/life/index.html&amp;LFGContentID=/lfg/llc/prd/all/aag/var" TargetMode="External"/><Relationship Id="rId5" Type="http://schemas.openxmlformats.org/officeDocument/2006/relationships/webSettings" Target="webSettings.xml"/><Relationship Id="rId15" Type="http://schemas.openxmlformats.org/officeDocument/2006/relationships/hyperlink" Target="https://www.lfg.com/LincolnPageServer?LFGPage=/lfg/lfgclient/fprod/life/index.html&amp;LFGContentID=/lfg/llc/prd/all/aag/var" TargetMode="External"/><Relationship Id="rId10" Type="http://schemas.openxmlformats.org/officeDocument/2006/relationships/hyperlink" Target="https://www.lfg.com/LincolnPageServer?LFGPage=/lfg/lfgclient/fprod/life/index.html&amp;LFGContentID=/lfg/llc/prd/all/aag/u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fg.com/LincolnPageServer?LFGPage=/lfg/lfgclient/fprod/life/index.html&amp;LFGContentID=/lfg/llc/prd/all/aag/trm" TargetMode="External"/><Relationship Id="rId14" Type="http://schemas.openxmlformats.org/officeDocument/2006/relationships/hyperlink" Target="https://www.lfg.com/LincolnPageServer?LFGPage=/lfg/lfgclient/fprod/life/index.html&amp;LFGContentID=/lfg/llc/prd/all/aag/un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Inzerillo</dc:creator>
  <cp:lastModifiedBy>Robyn Inzerillo</cp:lastModifiedBy>
  <cp:revision>1</cp:revision>
  <dcterms:created xsi:type="dcterms:W3CDTF">2013-08-20T18:57:00Z</dcterms:created>
  <dcterms:modified xsi:type="dcterms:W3CDTF">2013-08-20T19:06:00Z</dcterms:modified>
</cp:coreProperties>
</file>